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F6" w:rsidRDefault="006828F6" w:rsidP="006828F6">
      <w:r>
        <w:rPr>
          <w:noProof/>
          <w:color w:val="0000FF"/>
        </w:rPr>
        <w:drawing>
          <wp:inline distT="0" distB="0" distL="0" distR="0">
            <wp:extent cx="1866900" cy="419100"/>
            <wp:effectExtent l="19050" t="0" r="0" b="0"/>
            <wp:docPr id="1" name="Afbeelding 1" descr="ChristenUni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hristenUnie logo"/>
                    <pic:cNvPicPr>
                      <a:picLocks noChangeAspect="1" noChangeArrowheads="1"/>
                    </pic:cNvPicPr>
                  </pic:nvPicPr>
                  <pic:blipFill>
                    <a:blip r:embed="rId6" cstate="print"/>
                    <a:srcRect/>
                    <a:stretch>
                      <a:fillRect/>
                    </a:stretch>
                  </pic:blipFill>
                  <pic:spPr bwMode="auto">
                    <a:xfrm>
                      <a:off x="0" y="0"/>
                      <a:ext cx="1866900" cy="419100"/>
                    </a:xfrm>
                    <a:prstGeom prst="rect">
                      <a:avLst/>
                    </a:prstGeom>
                    <a:noFill/>
                    <a:ln w="9525">
                      <a:noFill/>
                      <a:miter lim="800000"/>
                      <a:headEnd/>
                      <a:tailEnd/>
                    </a:ln>
                  </pic:spPr>
                </pic:pic>
              </a:graphicData>
            </a:graphic>
          </wp:inline>
        </w:drawing>
      </w:r>
      <w:r>
        <w:t xml:space="preserve">                    </w:t>
      </w:r>
    </w:p>
    <w:p w:rsidR="006828F6" w:rsidRDefault="006828F6" w:rsidP="006828F6">
      <w:pPr>
        <w:rPr>
          <w:rFonts w:ascii="Arial" w:hAnsi="Arial"/>
        </w:rPr>
      </w:pPr>
      <w:r>
        <w:t xml:space="preserve">                                  </w:t>
      </w:r>
      <w:r>
        <w:br/>
      </w:r>
    </w:p>
    <w:p w:rsidR="006828F6" w:rsidRPr="00423BB9" w:rsidRDefault="006828F6" w:rsidP="006828F6">
      <w:pPr>
        <w:pStyle w:val="Kop1"/>
        <w:rPr>
          <w:rFonts w:ascii="Lucida Sans Unicode" w:hAnsi="Lucida Sans Unicode" w:cs="Lucida Sans Unicode"/>
          <w:sz w:val="24"/>
          <w:szCs w:val="24"/>
        </w:rPr>
      </w:pPr>
      <w:r w:rsidRPr="00423BB9">
        <w:rPr>
          <w:rFonts w:ascii="Lucida Sans Unicode" w:hAnsi="Lucida Sans Unicode" w:cs="Lucida Sans Unicode"/>
          <w:sz w:val="24"/>
          <w:szCs w:val="24"/>
        </w:rPr>
        <w:t xml:space="preserve">Vragen ex art </w:t>
      </w:r>
      <w:r>
        <w:rPr>
          <w:rFonts w:ascii="Lucida Sans Unicode" w:hAnsi="Lucida Sans Unicode" w:cs="Lucida Sans Unicode"/>
          <w:sz w:val="24"/>
          <w:szCs w:val="24"/>
        </w:rPr>
        <w:t>42</w:t>
      </w:r>
      <w:r w:rsidRPr="00423BB9">
        <w:rPr>
          <w:rFonts w:ascii="Lucida Sans Unicode" w:hAnsi="Lucida Sans Unicode" w:cs="Lucida Sans Unicode"/>
          <w:sz w:val="24"/>
          <w:szCs w:val="24"/>
        </w:rPr>
        <w:t xml:space="preserve"> reglement van orde aan het college van B en W</w:t>
      </w:r>
    </w:p>
    <w:p w:rsidR="006828F6" w:rsidRPr="00F86389" w:rsidRDefault="006828F6" w:rsidP="006828F6">
      <w:pPr>
        <w:rPr>
          <w:rFonts w:ascii="Lucida Sans Unicode" w:hAnsi="Lucida Sans Unicode" w:cs="Lucida Sans Unicode"/>
          <w:b/>
          <w:i/>
          <w:sz w:val="28"/>
          <w:szCs w:val="28"/>
        </w:rPr>
      </w:pPr>
      <w:r w:rsidRPr="00F86389">
        <w:rPr>
          <w:rFonts w:ascii="Lucida Sans Unicode" w:hAnsi="Lucida Sans Unicode" w:cs="Lucida Sans Unicode"/>
          <w:b/>
          <w:i/>
          <w:sz w:val="24"/>
          <w:szCs w:val="24"/>
        </w:rPr>
        <w:t xml:space="preserve">Betreft: </w:t>
      </w:r>
      <w:r>
        <w:rPr>
          <w:rFonts w:ascii="Lucida Sans Unicode" w:hAnsi="Lucida Sans Unicode" w:cs="Lucida Sans Unicode"/>
          <w:b/>
          <w:i/>
          <w:sz w:val="24"/>
          <w:szCs w:val="24"/>
        </w:rPr>
        <w:t>vragen overname vaste standplaatsplek</w:t>
      </w:r>
    </w:p>
    <w:p w:rsidR="006828F6" w:rsidRDefault="006828F6" w:rsidP="006828F6">
      <w:pPr>
        <w:outlineLvl w:val="0"/>
        <w:rPr>
          <w:rFonts w:ascii="Lucida Sans Unicode" w:hAnsi="Lucida Sans Unicode" w:cs="Lucida Sans Unicode"/>
          <w:sz w:val="24"/>
          <w:szCs w:val="24"/>
        </w:rPr>
      </w:pPr>
      <w:r w:rsidRPr="00F86389">
        <w:rPr>
          <w:rFonts w:ascii="Lucida Sans Unicode" w:hAnsi="Lucida Sans Unicode" w:cs="Lucida Sans Unicode"/>
          <w:b/>
          <w:sz w:val="24"/>
          <w:szCs w:val="24"/>
        </w:rPr>
        <w:t xml:space="preserve">Groningen, </w:t>
      </w:r>
      <w:r w:rsidR="00091198">
        <w:rPr>
          <w:rFonts w:ascii="Lucida Sans Unicode" w:hAnsi="Lucida Sans Unicode" w:cs="Lucida Sans Unicode"/>
          <w:b/>
          <w:sz w:val="24"/>
          <w:szCs w:val="24"/>
        </w:rPr>
        <w:t xml:space="preserve"> 5</w:t>
      </w:r>
      <w:r>
        <w:rPr>
          <w:rFonts w:ascii="Lucida Sans Unicode" w:hAnsi="Lucida Sans Unicode" w:cs="Lucida Sans Unicode"/>
          <w:b/>
          <w:sz w:val="24"/>
          <w:szCs w:val="24"/>
        </w:rPr>
        <w:t xml:space="preserve"> februari 201</w:t>
      </w:r>
      <w:r w:rsidR="00091198">
        <w:rPr>
          <w:rFonts w:ascii="Lucida Sans Unicode" w:hAnsi="Lucida Sans Unicode" w:cs="Lucida Sans Unicode"/>
          <w:b/>
          <w:sz w:val="24"/>
          <w:szCs w:val="24"/>
        </w:rPr>
        <w:t>4</w:t>
      </w:r>
    </w:p>
    <w:p w:rsidR="006828F6" w:rsidRPr="00423BB9" w:rsidRDefault="006828F6" w:rsidP="006828F6">
      <w:pPr>
        <w:rPr>
          <w:rFonts w:ascii="Lucida Sans Unicode" w:hAnsi="Lucida Sans Unicode" w:cs="Lucida Sans Unicode"/>
          <w:sz w:val="24"/>
          <w:szCs w:val="24"/>
        </w:rPr>
      </w:pPr>
    </w:p>
    <w:p w:rsidR="006828F6" w:rsidRDefault="006828F6" w:rsidP="006828F6">
      <w:pPr>
        <w:rPr>
          <w:rFonts w:ascii="Lucida Sans Unicode" w:hAnsi="Lucida Sans Unicode" w:cs="Lucida Sans Unicode"/>
          <w:sz w:val="24"/>
          <w:szCs w:val="24"/>
        </w:rPr>
      </w:pPr>
      <w:r w:rsidRPr="00423BB9">
        <w:rPr>
          <w:rFonts w:ascii="Lucida Sans Unicode" w:hAnsi="Lucida Sans Unicode" w:cs="Lucida Sans Unicode"/>
          <w:sz w:val="24"/>
          <w:szCs w:val="24"/>
        </w:rPr>
        <w:t>Geacht College,</w:t>
      </w:r>
    </w:p>
    <w:p w:rsidR="006828F6" w:rsidRDefault="006828F6" w:rsidP="006828F6">
      <w:pPr>
        <w:rPr>
          <w:rFonts w:ascii="Lucida Sans Unicode" w:hAnsi="Lucida Sans Unicode" w:cs="Lucida Sans Unicode"/>
          <w:sz w:val="24"/>
          <w:szCs w:val="24"/>
        </w:rPr>
      </w:pPr>
    </w:p>
    <w:p w:rsidR="006828F6" w:rsidRDefault="006828F6" w:rsidP="006828F6">
      <w:pPr>
        <w:rPr>
          <w:rFonts w:ascii="Lucida Sans Unicode" w:hAnsi="Lucida Sans Unicode" w:cs="Lucida Sans Unicode"/>
          <w:sz w:val="24"/>
          <w:szCs w:val="24"/>
        </w:rPr>
      </w:pPr>
      <w:r>
        <w:rPr>
          <w:rFonts w:ascii="Lucida Sans Unicode" w:hAnsi="Lucida Sans Unicode" w:cs="Lucida Sans Unicode"/>
          <w:sz w:val="24"/>
          <w:szCs w:val="24"/>
        </w:rPr>
        <w:t xml:space="preserve">In het Dagblad van het Noorden van zaterdag 1 februari jl. stond een reportage gewijd aan het veertigjarig bestaan van bloemenkraam Westerhof aan de Vismarkt. </w:t>
      </w:r>
      <w:r w:rsidR="00023BB4">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De ChristenUnie vindt dat kleine speciaalzaken c.q. de warenmarkt </w:t>
      </w:r>
      <w:r w:rsidRPr="006828F6">
        <w:rPr>
          <w:rFonts w:ascii="Lucida Sans Unicode" w:hAnsi="Lucida Sans Unicode" w:cs="Lucida Sans Unicode"/>
          <w:sz w:val="24"/>
          <w:szCs w:val="24"/>
        </w:rPr>
        <w:t>de smaakmakers</w:t>
      </w:r>
      <w:r>
        <w:rPr>
          <w:rFonts w:ascii="Lucida Sans Unicode" w:hAnsi="Lucida Sans Unicode" w:cs="Lucida Sans Unicode"/>
          <w:sz w:val="24"/>
          <w:szCs w:val="24"/>
        </w:rPr>
        <w:t xml:space="preserve"> zijn in het winkelaanbod. Een bloemenkraam al veertig jaren runnen op Vismarkt getuigt van ondernemerschap en doorzettingskracht.</w:t>
      </w:r>
    </w:p>
    <w:p w:rsidR="00AB355E" w:rsidRDefault="006828F6" w:rsidP="006828F6">
      <w:pPr>
        <w:rPr>
          <w:rFonts w:ascii="Lucida Sans Unicode" w:hAnsi="Lucida Sans Unicode" w:cs="Lucida Sans Unicode"/>
          <w:sz w:val="24"/>
          <w:szCs w:val="24"/>
        </w:rPr>
      </w:pPr>
      <w:r w:rsidRPr="006828F6">
        <w:rPr>
          <w:rFonts w:ascii="Lucida Sans Unicode" w:hAnsi="Lucida Sans Unicode" w:cs="Lucida Sans Unicode"/>
          <w:sz w:val="24"/>
          <w:szCs w:val="24"/>
        </w:rPr>
        <w:t>Vermindering van bureaucratie voor ondernemers en winkeliers draagt bij aan een goed en gezond ondernemersklimaat</w:t>
      </w:r>
      <w:r>
        <w:rPr>
          <w:rFonts w:asciiTheme="minorHAnsi" w:hAnsiTheme="minorHAnsi"/>
          <w:sz w:val="24"/>
        </w:rPr>
        <w:t xml:space="preserve">. </w:t>
      </w:r>
      <w:r>
        <w:rPr>
          <w:rFonts w:ascii="Lucida Sans Unicode" w:hAnsi="Lucida Sans Unicode" w:cs="Lucida Sans Unicode"/>
          <w:sz w:val="24"/>
          <w:szCs w:val="24"/>
        </w:rPr>
        <w:t xml:space="preserve">Daarom is de ChristenUnie verbaasd dat – mocht het aan de orde zijn – de bloemenkraam als vaste standplaats niet van familiewege kan worden overgenomen, waar dat bij de ambulante handel wel mogelijk is. </w:t>
      </w:r>
    </w:p>
    <w:p w:rsidR="00AB355E" w:rsidRDefault="00AB355E" w:rsidP="006828F6">
      <w:pPr>
        <w:rPr>
          <w:rFonts w:ascii="Lucida Sans Unicode" w:hAnsi="Lucida Sans Unicode" w:cs="Lucida Sans Unicode"/>
          <w:sz w:val="24"/>
          <w:szCs w:val="24"/>
        </w:rPr>
      </w:pPr>
    </w:p>
    <w:p w:rsidR="00AB355E" w:rsidRDefault="007841A0" w:rsidP="006828F6">
      <w:pPr>
        <w:rPr>
          <w:rFonts w:ascii="Lucida Sans Unicode" w:hAnsi="Lucida Sans Unicode" w:cs="Lucida Sans Unicode"/>
          <w:sz w:val="24"/>
          <w:szCs w:val="24"/>
        </w:rPr>
      </w:pPr>
      <w:r>
        <w:rPr>
          <w:rFonts w:ascii="Lucida Sans Unicode" w:hAnsi="Lucida Sans Unicode" w:cs="Lucida Sans Unicode"/>
          <w:sz w:val="24"/>
          <w:szCs w:val="24"/>
        </w:rPr>
        <w:t>In de nota standplaatsen 2014 en in artikel 1:5 van de APVG</w:t>
      </w:r>
      <w:r w:rsidR="00AB355E">
        <w:rPr>
          <w:rFonts w:ascii="Lucida Sans Unicode" w:hAnsi="Lucida Sans Unicode" w:cs="Lucida Sans Unicode"/>
          <w:sz w:val="24"/>
          <w:szCs w:val="24"/>
        </w:rPr>
        <w:t xml:space="preserve"> </w:t>
      </w:r>
      <w:r w:rsidR="00AB355E">
        <w:rPr>
          <w:rFonts w:ascii="Lucida Sans Unicode" w:hAnsi="Lucida Sans Unicode" w:cs="Lucida Sans Unicode"/>
          <w:sz w:val="24"/>
          <w:szCs w:val="24"/>
        </w:rPr>
        <w:br/>
        <w:t xml:space="preserve">(Zie </w:t>
      </w:r>
      <w:r w:rsidR="00AB355E" w:rsidRPr="00AB355E">
        <w:rPr>
          <w:rFonts w:ascii="Lucida Sans Unicode" w:hAnsi="Lucida Sans Unicode" w:cs="Lucida Sans Unicode"/>
          <w:sz w:val="24"/>
          <w:szCs w:val="24"/>
        </w:rPr>
        <w:t>GR 13.4006137</w:t>
      </w:r>
      <w:r w:rsidR="00AB355E">
        <w:rPr>
          <w:rFonts w:ascii="Lucida Sans Unicode" w:hAnsi="Lucida Sans Unicode" w:cs="Lucida Sans Unicode"/>
          <w:sz w:val="24"/>
          <w:szCs w:val="24"/>
        </w:rPr>
        <w:t xml:space="preserve"> en </w:t>
      </w:r>
      <w:r w:rsidR="00AB355E" w:rsidRPr="00AB355E">
        <w:rPr>
          <w:rFonts w:ascii="Lucida Sans Unicode" w:hAnsi="Lucida Sans Unicode" w:cs="Lucida Sans Unicode"/>
          <w:sz w:val="24"/>
          <w:szCs w:val="24"/>
        </w:rPr>
        <w:t>SB 13.3955791</w:t>
      </w:r>
      <w:r w:rsidR="00AB355E">
        <w:rPr>
          <w:rFonts w:ascii="Lucida Sans Unicode" w:hAnsi="Lucida Sans Unicode" w:cs="Lucida Sans Unicode"/>
          <w:sz w:val="24"/>
          <w:szCs w:val="24"/>
        </w:rPr>
        <w:t xml:space="preserve">bij 12-12-2013 </w:t>
      </w:r>
      <w:hyperlink r:id="rId7" w:history="1">
        <w:r w:rsidR="00AB355E" w:rsidRPr="002F6E8E">
          <w:rPr>
            <w:rStyle w:val="Hyperlink"/>
            <w:rFonts w:ascii="Lucida Sans Unicode" w:hAnsi="Lucida Sans Unicode" w:cs="Lucida Sans Unicode"/>
            <w:sz w:val="24"/>
            <w:szCs w:val="24"/>
          </w:rPr>
          <w:t>http://gemeente.groningen.nl/dia/bekendmakingen-gezinsbode/bekendmakingen-regelgeving/bekendmakingen-regelgeving-2013</w:t>
        </w:r>
      </w:hyperlink>
      <w:r w:rsidR="00AB355E">
        <w:rPr>
          <w:rFonts w:ascii="Lucida Sans Unicode" w:hAnsi="Lucida Sans Unicode" w:cs="Lucida Sans Unicode"/>
          <w:sz w:val="24"/>
          <w:szCs w:val="24"/>
        </w:rPr>
        <w:t>)</w:t>
      </w:r>
      <w:r w:rsidR="007B7C71">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is bepaald dat de vaste standplaatsvergunning </w:t>
      </w:r>
      <w:r w:rsidR="00AB355E">
        <w:rPr>
          <w:rFonts w:ascii="Lucida Sans Unicode" w:hAnsi="Lucida Sans Unicode" w:cs="Lucida Sans Unicode"/>
          <w:sz w:val="24"/>
          <w:szCs w:val="24"/>
        </w:rPr>
        <w:t>persoonlijk is;</w:t>
      </w:r>
      <w:r w:rsidR="00023BB4">
        <w:rPr>
          <w:rFonts w:ascii="Lucida Sans Unicode" w:hAnsi="Lucida Sans Unicode" w:cs="Lucida Sans Unicode"/>
          <w:sz w:val="24"/>
          <w:szCs w:val="24"/>
        </w:rPr>
        <w:t xml:space="preserve"> alleen</w:t>
      </w:r>
      <w:r>
        <w:rPr>
          <w:rFonts w:ascii="Lucida Sans Unicode" w:hAnsi="Lucida Sans Unicode" w:cs="Lucida Sans Unicode"/>
          <w:sz w:val="24"/>
          <w:szCs w:val="24"/>
        </w:rPr>
        <w:t xml:space="preserve"> bij overlijden of arbeidsongeschiktheid kan de vergunning aan echtgenote of geregistreerde partner worden overgedragen. Argument voor deze regeling is dat er meer aanvragers dan plekken zijn en het voor andere </w:t>
      </w:r>
      <w:r w:rsidR="00AB355E">
        <w:rPr>
          <w:rFonts w:ascii="Lucida Sans Unicode" w:hAnsi="Lucida Sans Unicode" w:cs="Lucida Sans Unicode"/>
          <w:sz w:val="24"/>
          <w:szCs w:val="24"/>
        </w:rPr>
        <w:t xml:space="preserve">ondernemers buiten </w:t>
      </w:r>
      <w:r>
        <w:rPr>
          <w:rFonts w:ascii="Lucida Sans Unicode" w:hAnsi="Lucida Sans Unicode" w:cs="Lucida Sans Unicode"/>
          <w:sz w:val="24"/>
          <w:szCs w:val="24"/>
        </w:rPr>
        <w:t xml:space="preserve">familieverband nooit mogelijk is om in aanmerking te komen voor een goede standplaats. </w:t>
      </w:r>
    </w:p>
    <w:p w:rsidR="007841A0" w:rsidRDefault="007841A0" w:rsidP="006828F6">
      <w:pPr>
        <w:rPr>
          <w:rFonts w:ascii="Lucida Sans Unicode" w:hAnsi="Lucida Sans Unicode" w:cs="Lucida Sans Unicode"/>
          <w:sz w:val="24"/>
          <w:szCs w:val="24"/>
        </w:rPr>
      </w:pPr>
      <w:r>
        <w:rPr>
          <w:rFonts w:ascii="Lucida Sans Unicode" w:hAnsi="Lucida Sans Unicode" w:cs="Lucida Sans Unicode"/>
          <w:sz w:val="24"/>
          <w:szCs w:val="24"/>
        </w:rPr>
        <w:t>Bij de ambulante handel is persoonlijk overdragen wel mogelijk, argumenten daarvoor zijn toenemende vergrijzing en het waarborgen van de warenmarkt.</w:t>
      </w:r>
    </w:p>
    <w:p w:rsidR="00A7763F" w:rsidRDefault="00A7763F" w:rsidP="006828F6">
      <w:pPr>
        <w:rPr>
          <w:rFonts w:ascii="Lucida Sans Unicode" w:hAnsi="Lucida Sans Unicode" w:cs="Lucida Sans Unicode"/>
          <w:sz w:val="24"/>
          <w:szCs w:val="24"/>
        </w:rPr>
      </w:pPr>
      <w:r>
        <w:rPr>
          <w:rFonts w:ascii="Lucida Sans Unicode" w:hAnsi="Lucida Sans Unicode" w:cs="Lucida Sans Unicode"/>
          <w:sz w:val="24"/>
          <w:szCs w:val="24"/>
        </w:rPr>
        <w:t>Het bevreemdt de ChristenUnie dat dit argument niet geldt voor de houders van een vaste standplaatsvergunning; in algemene zin hebben zelfstandige ondernemers moeite met het vinden van opvolging.</w:t>
      </w:r>
      <w:r w:rsidR="00023BB4">
        <w:rPr>
          <w:rFonts w:ascii="Lucida Sans Unicode" w:hAnsi="Lucida Sans Unicode" w:cs="Lucida Sans Unicode"/>
          <w:sz w:val="24"/>
          <w:szCs w:val="24"/>
        </w:rPr>
        <w:t xml:space="preserve"> Als in het geval van de </w:t>
      </w:r>
      <w:r w:rsidR="00023BB4">
        <w:rPr>
          <w:rFonts w:ascii="Lucida Sans Unicode" w:hAnsi="Lucida Sans Unicode" w:cs="Lucida Sans Unicode"/>
          <w:sz w:val="24"/>
          <w:szCs w:val="24"/>
        </w:rPr>
        <w:lastRenderedPageBreak/>
        <w:t>bloemenkraam iemand buiten de familie klaar zou staan om deze kraam over te nemen, is dit toch behoud van een zelfstandige onderneming?</w:t>
      </w:r>
    </w:p>
    <w:p w:rsidR="006828F6" w:rsidRDefault="006828F6" w:rsidP="006828F6">
      <w:pPr>
        <w:rPr>
          <w:rFonts w:ascii="Lucida Sans Unicode" w:hAnsi="Lucida Sans Unicode" w:cs="Lucida Sans Unicode"/>
          <w:sz w:val="24"/>
          <w:szCs w:val="24"/>
        </w:rPr>
      </w:pPr>
    </w:p>
    <w:p w:rsidR="00AB355E" w:rsidRDefault="00AB355E" w:rsidP="006828F6">
      <w:pPr>
        <w:rPr>
          <w:rFonts w:ascii="Lucida Sans Unicode" w:hAnsi="Lucida Sans Unicode" w:cs="Lucida Sans Unicode"/>
          <w:sz w:val="24"/>
          <w:szCs w:val="24"/>
        </w:rPr>
      </w:pPr>
      <w:r>
        <w:rPr>
          <w:rFonts w:ascii="Lucida Sans Unicode" w:hAnsi="Lucida Sans Unicode" w:cs="Lucida Sans Unicode"/>
          <w:sz w:val="24"/>
          <w:szCs w:val="24"/>
        </w:rPr>
        <w:t xml:space="preserve">De ChristenUnie snapt dat er in de afwegingen van het toewijzen van standplaatsen afwegingen gemaakt moeten worden, maar een bloemenkraam die al veertig jaar lang als smaakmaker fungeert afwijzen op basis van het </w:t>
      </w:r>
      <w:proofErr w:type="spellStart"/>
      <w:r>
        <w:rPr>
          <w:rFonts w:ascii="Lucida Sans Unicode" w:hAnsi="Lucida Sans Unicode" w:cs="Lucida Sans Unicode"/>
          <w:sz w:val="24"/>
          <w:szCs w:val="24"/>
        </w:rPr>
        <w:t>creeëren</w:t>
      </w:r>
      <w:proofErr w:type="spellEnd"/>
      <w:r>
        <w:rPr>
          <w:rFonts w:ascii="Lucida Sans Unicode" w:hAnsi="Lucida Sans Unicode" w:cs="Lucida Sans Unicode"/>
          <w:sz w:val="24"/>
          <w:szCs w:val="24"/>
        </w:rPr>
        <w:t xml:space="preserve"> van mogelijkheden voor andere ondernemers, vinden wij wel heel </w:t>
      </w:r>
      <w:bookmarkStart w:id="0" w:name="_GoBack"/>
      <w:bookmarkEnd w:id="0"/>
      <w:r>
        <w:rPr>
          <w:rFonts w:ascii="Lucida Sans Unicode" w:hAnsi="Lucida Sans Unicode" w:cs="Lucida Sans Unicode"/>
          <w:sz w:val="24"/>
          <w:szCs w:val="24"/>
        </w:rPr>
        <w:t xml:space="preserve">zakelijk. Dit argument gaat immers voorbij aan de dagelijkse inzet van de ondernemer </w:t>
      </w:r>
      <w:r w:rsidR="00023BB4">
        <w:rPr>
          <w:rFonts w:ascii="Lucida Sans Unicode" w:hAnsi="Lucida Sans Unicode" w:cs="Lucida Sans Unicode"/>
          <w:sz w:val="24"/>
          <w:szCs w:val="24"/>
        </w:rPr>
        <w:t xml:space="preserve">en diens bedrijfsnaam </w:t>
      </w:r>
      <w:r>
        <w:rPr>
          <w:rFonts w:ascii="Lucida Sans Unicode" w:hAnsi="Lucida Sans Unicode" w:cs="Lucida Sans Unicode"/>
          <w:sz w:val="24"/>
          <w:szCs w:val="24"/>
        </w:rPr>
        <w:t xml:space="preserve">op de vaste standplaats, de opgebouwde klantenkring en de bijdrage die deze ondernemer al jarenlang levert aan het </w:t>
      </w:r>
      <w:proofErr w:type="spellStart"/>
      <w:r>
        <w:rPr>
          <w:rFonts w:ascii="Lucida Sans Unicode" w:hAnsi="Lucida Sans Unicode" w:cs="Lucida Sans Unicode"/>
          <w:sz w:val="24"/>
          <w:szCs w:val="24"/>
        </w:rPr>
        <w:t>binnenstadsklimaat</w:t>
      </w:r>
      <w:proofErr w:type="spellEnd"/>
      <w:r w:rsidR="00A7763F">
        <w:rPr>
          <w:rFonts w:ascii="Lucida Sans Unicode" w:hAnsi="Lucida Sans Unicode" w:cs="Lucida Sans Unicode"/>
          <w:sz w:val="24"/>
          <w:szCs w:val="24"/>
        </w:rPr>
        <w:t xml:space="preserve"> en gehechtheid van klant en ondernemer aan een bepaalde standplaats</w:t>
      </w:r>
      <w:r>
        <w:rPr>
          <w:rFonts w:ascii="Lucida Sans Unicode" w:hAnsi="Lucida Sans Unicode" w:cs="Lucida Sans Unicode"/>
          <w:sz w:val="24"/>
          <w:szCs w:val="24"/>
        </w:rPr>
        <w:t xml:space="preserve">. Daarom zou de ChristenUnie het anciënniteitsprincipe willen toevoegen; ondernemers die </w:t>
      </w:r>
      <w:r w:rsidR="00A7763F">
        <w:rPr>
          <w:rFonts w:ascii="Lucida Sans Unicode" w:hAnsi="Lucida Sans Unicode" w:cs="Lucida Sans Unicode"/>
          <w:sz w:val="24"/>
          <w:szCs w:val="24"/>
        </w:rPr>
        <w:t xml:space="preserve">door middel van hun standplaats </w:t>
      </w:r>
      <w:r>
        <w:rPr>
          <w:rFonts w:ascii="Lucida Sans Unicode" w:hAnsi="Lucida Sans Unicode" w:cs="Lucida Sans Unicode"/>
          <w:sz w:val="24"/>
          <w:szCs w:val="24"/>
        </w:rPr>
        <w:t xml:space="preserve">langer dan bijvoorbeeld 10 jaar bijdragen aan de </w:t>
      </w:r>
      <w:r w:rsidR="007B7C71">
        <w:rPr>
          <w:rFonts w:ascii="Lucida Sans Unicode" w:hAnsi="Lucida Sans Unicode" w:cs="Lucida Sans Unicode"/>
          <w:sz w:val="24"/>
          <w:szCs w:val="24"/>
        </w:rPr>
        <w:t>Groningse economie</w:t>
      </w:r>
      <w:r>
        <w:rPr>
          <w:rFonts w:ascii="Lucida Sans Unicode" w:hAnsi="Lucida Sans Unicode" w:cs="Lucida Sans Unicode"/>
          <w:sz w:val="24"/>
          <w:szCs w:val="24"/>
        </w:rPr>
        <w:t xml:space="preserve">, hebben recht op het overdragen van de vergunning binnen de familie. </w:t>
      </w:r>
      <w:r>
        <w:rPr>
          <w:rFonts w:ascii="Lucida Sans Unicode" w:hAnsi="Lucida Sans Unicode" w:cs="Lucida Sans Unicode"/>
          <w:sz w:val="24"/>
          <w:szCs w:val="24"/>
        </w:rPr>
        <w:br/>
      </w:r>
    </w:p>
    <w:p w:rsidR="006828F6" w:rsidRPr="006746B7" w:rsidRDefault="006828F6" w:rsidP="006828F6">
      <w:pPr>
        <w:rPr>
          <w:sz w:val="24"/>
          <w:szCs w:val="24"/>
        </w:rPr>
      </w:pPr>
      <w:r>
        <w:rPr>
          <w:rFonts w:ascii="Lucida Sans Unicode" w:hAnsi="Lucida Sans Unicode" w:cs="Lucida Sans Unicode"/>
          <w:sz w:val="24"/>
          <w:szCs w:val="24"/>
        </w:rPr>
        <w:t>Daarom hebben wij de volgende vragen aan het college.</w:t>
      </w:r>
    </w:p>
    <w:p w:rsidR="006828F6" w:rsidRDefault="006828F6" w:rsidP="006828F6">
      <w:pPr>
        <w:rPr>
          <w:rFonts w:ascii="Lucida Sans Unicode" w:hAnsi="Lucida Sans Unicode" w:cs="Lucida Sans Unicode"/>
          <w:sz w:val="24"/>
          <w:szCs w:val="24"/>
        </w:rPr>
      </w:pPr>
    </w:p>
    <w:p w:rsidR="006828F6" w:rsidRDefault="00AB355E" w:rsidP="006828F6">
      <w:pPr>
        <w:numPr>
          <w:ilvl w:val="0"/>
          <w:numId w:val="1"/>
        </w:numPr>
        <w:tabs>
          <w:tab w:val="clear" w:pos="720"/>
          <w:tab w:val="num" w:pos="851"/>
        </w:tabs>
        <w:ind w:left="851" w:hanging="425"/>
        <w:rPr>
          <w:rFonts w:ascii="Lucida Sans Unicode" w:hAnsi="Lucida Sans Unicode" w:cs="Lucida Sans Unicode"/>
          <w:sz w:val="24"/>
          <w:szCs w:val="24"/>
        </w:rPr>
      </w:pPr>
      <w:r>
        <w:rPr>
          <w:rFonts w:ascii="Lucida Sans Unicode" w:hAnsi="Lucida Sans Unicode" w:cs="Lucida Sans Unicode"/>
          <w:sz w:val="24"/>
          <w:szCs w:val="24"/>
        </w:rPr>
        <w:t xml:space="preserve">Het overdragen van een vaste standplaats in familieverband is </w:t>
      </w:r>
      <w:r w:rsidR="00A7763F">
        <w:rPr>
          <w:rFonts w:ascii="Lucida Sans Unicode" w:hAnsi="Lucida Sans Unicode" w:cs="Lucida Sans Unicode"/>
          <w:sz w:val="24"/>
          <w:szCs w:val="24"/>
        </w:rPr>
        <w:t xml:space="preserve">volgens de APVG </w:t>
      </w:r>
      <w:r>
        <w:rPr>
          <w:rFonts w:ascii="Lucida Sans Unicode" w:hAnsi="Lucida Sans Unicode" w:cs="Lucida Sans Unicode"/>
          <w:sz w:val="24"/>
          <w:szCs w:val="24"/>
        </w:rPr>
        <w:t xml:space="preserve">niet mogelijk. Kan het college aangeven of zij bereid is te kijken naar het hierboven geschetste </w:t>
      </w:r>
      <w:r w:rsidR="00A7763F">
        <w:rPr>
          <w:rFonts w:ascii="Lucida Sans Unicode" w:hAnsi="Lucida Sans Unicode" w:cs="Lucida Sans Unicode"/>
          <w:sz w:val="24"/>
          <w:szCs w:val="24"/>
        </w:rPr>
        <w:t>anciënniteitsprincipe en aangeven of het mogelijk is deze in familieverband toe te voegen aan de APVG? Zo ja, waarom wel, zo nee, waarom niet?</w:t>
      </w:r>
    </w:p>
    <w:p w:rsidR="006828F6" w:rsidRDefault="00A7763F" w:rsidP="006828F6">
      <w:pPr>
        <w:numPr>
          <w:ilvl w:val="0"/>
          <w:numId w:val="1"/>
        </w:numPr>
        <w:tabs>
          <w:tab w:val="clear" w:pos="720"/>
          <w:tab w:val="num" w:pos="851"/>
        </w:tabs>
        <w:ind w:left="851" w:hanging="425"/>
        <w:rPr>
          <w:rFonts w:ascii="Lucida Sans Unicode" w:hAnsi="Lucida Sans Unicode" w:cs="Lucida Sans Unicode"/>
          <w:sz w:val="24"/>
          <w:szCs w:val="24"/>
        </w:rPr>
      </w:pPr>
      <w:r>
        <w:rPr>
          <w:rFonts w:ascii="Lucida Sans Unicode" w:hAnsi="Lucida Sans Unicode" w:cs="Lucida Sans Unicode"/>
          <w:sz w:val="24"/>
          <w:szCs w:val="24"/>
        </w:rPr>
        <w:t>In de weging van de argumenten wordt een onderscheid gemaakt tussen ambulante handel met vergrijzing en handel met vaste standplaats zonder vergrijzing. Kan het college aangeven op basis van welke feiten en omstandigheden dit onderscheid gemaakt wordt? Immers, in algemene zin hebben ondernemer</w:t>
      </w:r>
      <w:r w:rsidR="007B7C71">
        <w:rPr>
          <w:rFonts w:ascii="Lucida Sans Unicode" w:hAnsi="Lucida Sans Unicode" w:cs="Lucida Sans Unicode"/>
          <w:sz w:val="24"/>
          <w:szCs w:val="24"/>
        </w:rPr>
        <w:t xml:space="preserve">s en </w:t>
      </w:r>
      <w:r>
        <w:rPr>
          <w:rFonts w:ascii="Lucida Sans Unicode" w:hAnsi="Lucida Sans Unicode" w:cs="Lucida Sans Unicode"/>
          <w:sz w:val="24"/>
          <w:szCs w:val="24"/>
        </w:rPr>
        <w:t>ambulant</w:t>
      </w:r>
      <w:r w:rsidR="007B7C71">
        <w:rPr>
          <w:rFonts w:ascii="Lucida Sans Unicode" w:hAnsi="Lucida Sans Unicode" w:cs="Lucida Sans Unicode"/>
          <w:sz w:val="24"/>
          <w:szCs w:val="24"/>
        </w:rPr>
        <w:t>e handelaren met of zonder</w:t>
      </w:r>
      <w:r>
        <w:rPr>
          <w:rFonts w:ascii="Lucida Sans Unicode" w:hAnsi="Lucida Sans Unicode" w:cs="Lucida Sans Unicode"/>
          <w:sz w:val="24"/>
          <w:szCs w:val="24"/>
        </w:rPr>
        <w:t xml:space="preserve"> vaste standplaats, moeite met het vinden van opvolgers. Is het college bereid om onafhankelijk van het antwoord op vraag</w:t>
      </w:r>
      <w:r w:rsidR="00023BB4">
        <w:rPr>
          <w:rFonts w:ascii="Lucida Sans Unicode" w:hAnsi="Lucida Sans Unicode" w:cs="Lucida Sans Unicode"/>
          <w:sz w:val="24"/>
          <w:szCs w:val="24"/>
        </w:rPr>
        <w:t xml:space="preserve"> één</w:t>
      </w:r>
      <w:r>
        <w:rPr>
          <w:rFonts w:ascii="Lucida Sans Unicode" w:hAnsi="Lucida Sans Unicode" w:cs="Lucida Sans Unicode"/>
          <w:sz w:val="24"/>
          <w:szCs w:val="24"/>
        </w:rPr>
        <w:t xml:space="preserve">, het overdragen van een vergunning op basis van </w:t>
      </w:r>
      <w:r w:rsidR="00023BB4">
        <w:rPr>
          <w:rFonts w:ascii="Lucida Sans Unicode" w:hAnsi="Lucida Sans Unicode" w:cs="Lucida Sans Unicode"/>
          <w:sz w:val="24"/>
          <w:szCs w:val="24"/>
        </w:rPr>
        <w:t>vergrijzing toe te voegen</w:t>
      </w:r>
      <w:r w:rsidR="007B7C71">
        <w:rPr>
          <w:rFonts w:ascii="Lucida Sans Unicode" w:hAnsi="Lucida Sans Unicode" w:cs="Lucida Sans Unicode"/>
          <w:sz w:val="24"/>
          <w:szCs w:val="24"/>
        </w:rPr>
        <w:t xml:space="preserve"> aan handelaren met een vaste standplaatsvergunning</w:t>
      </w:r>
      <w:r w:rsidR="00023BB4">
        <w:rPr>
          <w:rFonts w:ascii="Lucida Sans Unicode" w:hAnsi="Lucida Sans Unicode" w:cs="Lucida Sans Unicode"/>
          <w:sz w:val="24"/>
          <w:szCs w:val="24"/>
        </w:rPr>
        <w:t>?</w:t>
      </w:r>
      <w:r w:rsidR="007B7C71">
        <w:rPr>
          <w:rFonts w:ascii="Lucida Sans Unicode" w:hAnsi="Lucida Sans Unicode" w:cs="Lucida Sans Unicode"/>
          <w:sz w:val="24"/>
          <w:szCs w:val="24"/>
        </w:rPr>
        <w:t xml:space="preserve"> Indien niet, wat zijn uw argumenten c.q. overwegingen?</w:t>
      </w:r>
    </w:p>
    <w:p w:rsidR="006828F6" w:rsidRDefault="006828F6" w:rsidP="006828F6">
      <w:pPr>
        <w:rPr>
          <w:rFonts w:ascii="Lucida Sans Unicode" w:hAnsi="Lucida Sans Unicode" w:cs="Lucida Sans Unicode"/>
          <w:sz w:val="24"/>
          <w:szCs w:val="24"/>
        </w:rPr>
      </w:pPr>
    </w:p>
    <w:p w:rsidR="00023BB4" w:rsidRDefault="006828F6" w:rsidP="006828F6">
      <w:pPr>
        <w:rPr>
          <w:rFonts w:ascii="Lucida Sans Unicode" w:hAnsi="Lucida Sans Unicode" w:cs="Lucida Sans Unicode"/>
          <w:sz w:val="24"/>
          <w:szCs w:val="24"/>
        </w:rPr>
      </w:pPr>
      <w:r>
        <w:rPr>
          <w:rFonts w:ascii="Lucida Sans Unicode" w:hAnsi="Lucida Sans Unicode" w:cs="Lucida Sans Unicode"/>
          <w:sz w:val="24"/>
          <w:szCs w:val="24"/>
        </w:rPr>
        <w:t>Namens de fractie van de ChristenUnie,</w:t>
      </w:r>
    </w:p>
    <w:p w:rsidR="006828F6" w:rsidRDefault="006828F6" w:rsidP="006828F6">
      <w:r w:rsidRPr="00423BB9">
        <w:rPr>
          <w:rFonts w:ascii="Lucida Sans Unicode" w:hAnsi="Lucida Sans Unicode" w:cs="Lucida Sans Unicode"/>
          <w:sz w:val="24"/>
          <w:szCs w:val="24"/>
        </w:rPr>
        <w:t xml:space="preserve">Inge </w:t>
      </w:r>
      <w:proofErr w:type="spellStart"/>
      <w:r w:rsidRPr="00423BB9">
        <w:rPr>
          <w:rFonts w:ascii="Lucida Sans Unicode" w:hAnsi="Lucida Sans Unicode" w:cs="Lucida Sans Unicode"/>
          <w:sz w:val="24"/>
          <w:szCs w:val="24"/>
        </w:rPr>
        <w:t>Jongman-Mollema</w:t>
      </w:r>
      <w:proofErr w:type="spellEnd"/>
      <w:r w:rsidRPr="00423BB9">
        <w:rPr>
          <w:rFonts w:ascii="Lucida Sans Unicode" w:hAnsi="Lucida Sans Unicode" w:cs="Lucida Sans Unicode"/>
          <w:sz w:val="24"/>
          <w:szCs w:val="24"/>
        </w:rPr>
        <w:tab/>
      </w:r>
      <w:r w:rsidRPr="00423BB9">
        <w:rPr>
          <w:rFonts w:ascii="Lucida Sans Unicode" w:hAnsi="Lucida Sans Unicode" w:cs="Lucida Sans Unicode"/>
          <w:sz w:val="24"/>
          <w:szCs w:val="24"/>
        </w:rPr>
        <w:tab/>
      </w:r>
      <w:r w:rsidRPr="00423BB9">
        <w:rPr>
          <w:rFonts w:ascii="Lucida Sans Unicode" w:hAnsi="Lucida Sans Unicode" w:cs="Lucida Sans Unicode"/>
          <w:sz w:val="24"/>
          <w:szCs w:val="24"/>
        </w:rPr>
        <w:tab/>
      </w:r>
      <w:r w:rsidRPr="00423BB9">
        <w:rPr>
          <w:rFonts w:ascii="Lucida Sans Unicode" w:hAnsi="Lucida Sans Unicode" w:cs="Lucida Sans Unicode"/>
          <w:sz w:val="24"/>
          <w:szCs w:val="24"/>
        </w:rPr>
        <w:tab/>
      </w:r>
      <w:r w:rsidRPr="00423BB9">
        <w:rPr>
          <w:rFonts w:ascii="Lucida Sans Unicode" w:hAnsi="Lucida Sans Unicode" w:cs="Lucida Sans Unicode"/>
          <w:sz w:val="24"/>
          <w:szCs w:val="24"/>
        </w:rPr>
        <w:tab/>
      </w:r>
    </w:p>
    <w:p w:rsidR="00984AAD" w:rsidRDefault="00984AAD"/>
    <w:sectPr w:rsidR="00984AAD" w:rsidSect="00505763">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047A1"/>
    <w:multiLevelType w:val="multilevel"/>
    <w:tmpl w:val="1068D8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828F6"/>
    <w:rsid w:val="00023BB4"/>
    <w:rsid w:val="00091198"/>
    <w:rsid w:val="002B32E2"/>
    <w:rsid w:val="00505763"/>
    <w:rsid w:val="006723F5"/>
    <w:rsid w:val="006828F6"/>
    <w:rsid w:val="007841A0"/>
    <w:rsid w:val="007B7C71"/>
    <w:rsid w:val="00984AAD"/>
    <w:rsid w:val="00A7763F"/>
    <w:rsid w:val="00AB35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3D01D-4B5B-477C-8A90-8F28B3C7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28F6"/>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6828F6"/>
    <w:pPr>
      <w:keepNext/>
      <w:outlineLvl w:val="0"/>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828F6"/>
    <w:rPr>
      <w:rFonts w:ascii="Arial" w:eastAsia="Times New Roman" w:hAnsi="Arial" w:cs="Times New Roman"/>
      <w:b/>
      <w:sz w:val="28"/>
      <w:szCs w:val="20"/>
      <w:lang w:eastAsia="nl-NL"/>
    </w:rPr>
  </w:style>
  <w:style w:type="paragraph" w:styleId="Ballontekst">
    <w:name w:val="Balloon Text"/>
    <w:basedOn w:val="Standaard"/>
    <w:link w:val="BallontekstChar"/>
    <w:uiPriority w:val="99"/>
    <w:semiHidden/>
    <w:unhideWhenUsed/>
    <w:rsid w:val="006828F6"/>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8F6"/>
    <w:rPr>
      <w:rFonts w:ascii="Tahoma" w:eastAsia="Times New Roman" w:hAnsi="Tahoma" w:cs="Tahoma"/>
      <w:sz w:val="16"/>
      <w:szCs w:val="16"/>
      <w:lang w:eastAsia="nl-NL"/>
    </w:rPr>
  </w:style>
  <w:style w:type="character" w:styleId="Hyperlink">
    <w:name w:val="Hyperlink"/>
    <w:basedOn w:val="Standaardalinea-lettertype"/>
    <w:uiPriority w:val="99"/>
    <w:unhideWhenUsed/>
    <w:rsid w:val="00AB3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meente.groningen.nl/dia/bekendmakingen-gezinsbode/bekendmakingen-regelgeving/bekendmakingen-regelgeving-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groningen.christenuni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 van Tongeren</cp:lastModifiedBy>
  <cp:revision>2</cp:revision>
  <dcterms:created xsi:type="dcterms:W3CDTF">2014-02-05T10:57:00Z</dcterms:created>
  <dcterms:modified xsi:type="dcterms:W3CDTF">2014-02-05T10:57:00Z</dcterms:modified>
</cp:coreProperties>
</file>