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E8B5" w14:textId="43A3FD5C" w:rsidR="00403091" w:rsidRDefault="00403091" w:rsidP="00403091">
      <w:pPr>
        <w:jc w:val="right"/>
        <w:rPr>
          <w:b/>
          <w:bCs/>
        </w:rPr>
      </w:pPr>
      <w:r w:rsidRPr="00403091">
        <w:rPr>
          <w:b/>
          <w:bCs/>
          <w:noProof/>
        </w:rPr>
        <w:drawing>
          <wp:inline distT="0" distB="0" distL="0" distR="0" wp14:anchorId="053B7F3A" wp14:editId="568C8E83">
            <wp:extent cx="1991360" cy="4445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84" cy="44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44923" w14:textId="0F58CEC3" w:rsidR="00403091" w:rsidRPr="00403091" w:rsidRDefault="00403091" w:rsidP="0040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E0B0F7C" w14:textId="1380AC16" w:rsidR="00403091" w:rsidRDefault="00403091" w:rsidP="00403091">
      <w:pPr>
        <w:rPr>
          <w:b/>
          <w:bCs/>
        </w:rPr>
      </w:pPr>
      <w:r>
        <w:rPr>
          <w:b/>
          <w:bCs/>
        </w:rPr>
        <w:t>Aan het college van B&amp;W van de gemeente Groningen</w:t>
      </w:r>
    </w:p>
    <w:p w14:paraId="5B625F41" w14:textId="1CB036D5" w:rsidR="00403091" w:rsidRDefault="00403091">
      <w:r w:rsidRPr="00403091">
        <w:rPr>
          <w:b/>
          <w:bCs/>
        </w:rPr>
        <w:t xml:space="preserve">Schriftelijke vragen ex </w:t>
      </w:r>
      <w:r>
        <w:rPr>
          <w:b/>
          <w:bCs/>
        </w:rPr>
        <w:t>a</w:t>
      </w:r>
      <w:r w:rsidRPr="00403091">
        <w:rPr>
          <w:b/>
          <w:bCs/>
        </w:rPr>
        <w:t>rt 38 RvO</w:t>
      </w:r>
      <w:r>
        <w:rPr>
          <w:b/>
          <w:bCs/>
        </w:rPr>
        <w:t xml:space="preserve"> </w:t>
      </w:r>
      <w:r w:rsidR="00174A64" w:rsidRPr="00174A64">
        <w:rPr>
          <w:b/>
          <w:bCs/>
        </w:rPr>
        <w:t>betreffende ondersteuning van horecaondernemers</w:t>
      </w:r>
    </w:p>
    <w:p w14:paraId="085CA9DC" w14:textId="43CA17D7" w:rsidR="00440754" w:rsidRPr="00403091" w:rsidRDefault="00440754" w:rsidP="00403091">
      <w:pPr>
        <w:ind w:left="6372"/>
        <w:rPr>
          <w:b/>
          <w:bCs/>
        </w:rPr>
      </w:pPr>
      <w:r>
        <w:t xml:space="preserve">Groningen, </w:t>
      </w:r>
      <w:r w:rsidR="009E4B43">
        <w:t>12</w:t>
      </w:r>
      <w:r>
        <w:t xml:space="preserve"> april 2021</w:t>
      </w:r>
    </w:p>
    <w:p w14:paraId="3B444C00" w14:textId="77777777" w:rsidR="00403091" w:rsidRDefault="00403091">
      <w:r>
        <w:t>Geacht college,</w:t>
      </w:r>
    </w:p>
    <w:p w14:paraId="233B0916" w14:textId="4624716B" w:rsidR="00174A64" w:rsidRDefault="00174A64">
      <w:r>
        <w:t>Aanleiding voor deze vragen zijn</w:t>
      </w:r>
      <w:r w:rsidR="00BA6386">
        <w:t xml:space="preserve"> de signalen en informatie vanuit de </w:t>
      </w:r>
      <w:r w:rsidR="00DD14C8">
        <w:t>horeca</w:t>
      </w:r>
      <w:r w:rsidR="00BA6386">
        <w:t xml:space="preserve">branche, </w:t>
      </w:r>
      <w:r>
        <w:t xml:space="preserve">de </w:t>
      </w:r>
      <w:r w:rsidR="00F06D7F">
        <w:t>radio</w:t>
      </w:r>
      <w:r w:rsidR="00403091">
        <w:t>-</w:t>
      </w:r>
      <w:r>
        <w:t xml:space="preserve">uitzending van Pointer </w:t>
      </w:r>
      <w:r w:rsidR="0086652F">
        <w:t xml:space="preserve">op 14 maart 2021 </w:t>
      </w:r>
      <w:r>
        <w:t>met als thema ‘spaghetti van de corona-steun’</w:t>
      </w:r>
      <w:r>
        <w:rPr>
          <w:rStyle w:val="Voetnootmarkering"/>
        </w:rPr>
        <w:footnoteReference w:id="1"/>
      </w:r>
      <w:r w:rsidR="00BA6386">
        <w:t xml:space="preserve"> en </w:t>
      </w:r>
      <w:r>
        <w:t>het verlengen van de maatregelen voor de horeca</w:t>
      </w:r>
      <w:r w:rsidR="007D584C">
        <w:rPr>
          <w:rStyle w:val="Voetnootmarkering"/>
        </w:rPr>
        <w:footnoteReference w:id="2"/>
      </w:r>
      <w:r w:rsidR="007D584C">
        <w:t>. De informatie uit de collegebrief van 10 maart 2021</w:t>
      </w:r>
      <w:r w:rsidR="007D584C">
        <w:rPr>
          <w:rStyle w:val="Voetnootmarkering"/>
        </w:rPr>
        <w:footnoteReference w:id="3"/>
      </w:r>
      <w:r w:rsidR="007D584C">
        <w:t xml:space="preserve"> </w:t>
      </w:r>
      <w:r w:rsidR="0086652F">
        <w:t xml:space="preserve">is </w:t>
      </w:r>
      <w:r w:rsidR="007D584C">
        <w:t xml:space="preserve">betrokken </w:t>
      </w:r>
      <w:r w:rsidR="00217C60">
        <w:t>bij het opstellen van deze vragen.</w:t>
      </w:r>
      <w:r w:rsidR="000B25BD">
        <w:t xml:space="preserve"> </w:t>
      </w:r>
    </w:p>
    <w:p w14:paraId="482A1D03" w14:textId="271C7C87" w:rsidR="00217C60" w:rsidRDefault="00217C60">
      <w:r>
        <w:rPr>
          <w:b/>
          <w:bCs/>
        </w:rPr>
        <w:t>Bekendheid van regelingen</w:t>
      </w:r>
      <w:r>
        <w:rPr>
          <w:b/>
          <w:bCs/>
        </w:rPr>
        <w:br/>
      </w:r>
      <w:r>
        <w:t>In de genoemde uitzending komt naar voren dat</w:t>
      </w:r>
      <w:r w:rsidR="0086652F">
        <w:t xml:space="preserve"> er onder </w:t>
      </w:r>
      <w:r>
        <w:t xml:space="preserve">ondernemers </w:t>
      </w:r>
      <w:r w:rsidR="0086652F">
        <w:t>on</w:t>
      </w:r>
      <w:r>
        <w:t>bekend</w:t>
      </w:r>
      <w:r w:rsidR="0086652F">
        <w:t>heid is</w:t>
      </w:r>
      <w:r>
        <w:t xml:space="preserve"> met de verschillende regelingen. In de collegebrief is aangegeven dat, naast informatie op de website van de gemeente, de gemeentelijke dienstverlening aan ondernemers in één team is samengevoegd </w:t>
      </w:r>
      <w:r w:rsidR="0086652F">
        <w:t>e</w:t>
      </w:r>
      <w:r>
        <w:t>n</w:t>
      </w:r>
      <w:r w:rsidR="0086652F">
        <w:t xml:space="preserve"> dat </w:t>
      </w:r>
      <w:r>
        <w:t>de Corona-toolkit van Groninger City Club en bedrijfsverenigingen wordt ondersteund.</w:t>
      </w:r>
    </w:p>
    <w:p w14:paraId="2FF03C65" w14:textId="523DE7FB" w:rsidR="00217C60" w:rsidRDefault="00217C60" w:rsidP="008D3929">
      <w:pPr>
        <w:pStyle w:val="Lijstalinea"/>
        <w:numPr>
          <w:ilvl w:val="0"/>
          <w:numId w:val="1"/>
        </w:numPr>
      </w:pPr>
      <w:r>
        <w:t xml:space="preserve">Wordt met bovengenoemde maatregelen, naar </w:t>
      </w:r>
      <w:r w:rsidR="004A09C7">
        <w:t>oordeel van het college</w:t>
      </w:r>
      <w:r>
        <w:t xml:space="preserve">, </w:t>
      </w:r>
      <w:r w:rsidR="0086652F">
        <w:t xml:space="preserve">voldoende gedaan om ondernemers bekend te maken </w:t>
      </w:r>
      <w:r>
        <w:t>met de verschillende regelingen als TONK</w:t>
      </w:r>
      <w:r w:rsidR="000B25BD">
        <w:t xml:space="preserve"> </w:t>
      </w:r>
      <w:r>
        <w:t>en TOZO</w:t>
      </w:r>
      <w:r w:rsidR="000B25BD">
        <w:t xml:space="preserve"> (maar ook landelijke regelingen als TVL, NOW)</w:t>
      </w:r>
      <w:r>
        <w:t xml:space="preserve">? Zo ja, waarom? Zo nee, wat zou hiervoor verder </w:t>
      </w:r>
      <w:r w:rsidR="000B25BD">
        <w:t xml:space="preserve">vanuit de gemeente </w:t>
      </w:r>
      <w:r>
        <w:t>kunnen worden ondernomen?</w:t>
      </w:r>
    </w:p>
    <w:p w14:paraId="6D3FA298" w14:textId="712E2954" w:rsidR="0086652F" w:rsidRDefault="0086652F" w:rsidP="0086652F">
      <w:pPr>
        <w:pStyle w:val="xmsonormal"/>
      </w:pPr>
      <w:r>
        <w:t xml:space="preserve">Ook is er onder ondernemers onbekendheid over de mogelijkheid van schuldhulpverlening. </w:t>
      </w:r>
      <w:r w:rsidR="001B765C">
        <w:t>Uit technische vragen is ons gebleken dat er vooralsnog niet veel gebruik gemaakt wordt van de mogelijkheid voor ondernemers om zich met schuldproblemen te melden bij de GKB</w:t>
      </w:r>
      <w:r>
        <w:t>, in 2021 gaat het tot nu toe om een zestal ondernemers. In 2020 betrof het 24 ondernemers.</w:t>
      </w:r>
    </w:p>
    <w:p w14:paraId="6788BAB7" w14:textId="304565A4" w:rsidR="001B765C" w:rsidRDefault="0086652F" w:rsidP="001B765C">
      <w:r>
        <w:t>E</w:t>
      </w:r>
      <w:r w:rsidR="001B765C">
        <w:t xml:space="preserve">r </w:t>
      </w:r>
      <w:r>
        <w:t xml:space="preserve">is dus </w:t>
      </w:r>
      <w:r w:rsidR="001B765C">
        <w:t xml:space="preserve">nog geen toename te zien door Corona. De verwachting </w:t>
      </w:r>
      <w:r>
        <w:t xml:space="preserve">van de </w:t>
      </w:r>
      <w:r w:rsidR="00C23099">
        <w:t xml:space="preserve">ambtelijke organisatie </w:t>
      </w:r>
      <w:r w:rsidR="001B765C">
        <w:t>is dat meer ondernemers door de coronacrisis in de financiële problemen komen, zeker als regelingen als TOZO en TONK op termijn worden versoberd.</w:t>
      </w:r>
      <w:r w:rsidR="00267A59">
        <w:t xml:space="preserve"> In verband met de verwachte toeloop van ondernemers is het van belang dat ondernemers de mogelijkheden van schuldhulpverlening </w:t>
      </w:r>
      <w:r w:rsidR="00C37890">
        <w:t>kennen</w:t>
      </w:r>
      <w:r w:rsidR="00267A59">
        <w:t>, zodat wanneer dat nodig is zij de benodigde ondersteuning kunnen krijgen.</w:t>
      </w:r>
      <w:r w:rsidR="00C23099">
        <w:t xml:space="preserve"> </w:t>
      </w:r>
      <w:r w:rsidR="00C23099" w:rsidRPr="00C23099">
        <w:rPr>
          <w:rFonts w:cstheme="minorHAnsi"/>
          <w:color w:val="30312D"/>
          <w:shd w:val="clear" w:color="auto" w:fill="FFFFFF"/>
        </w:rPr>
        <w:t>Zelfstandig ondernemers in de gemeente Groningen kunnen sinds maandag terecht bij Perron ZZP voor hulp en ondersteuning.</w:t>
      </w:r>
      <w:r w:rsidR="00C23099">
        <w:rPr>
          <w:rFonts w:cstheme="minorHAnsi"/>
          <w:color w:val="30312D"/>
          <w:shd w:val="clear" w:color="auto" w:fill="FFFFFF"/>
        </w:rPr>
        <w:t xml:space="preserve"> </w:t>
      </w:r>
      <w:r w:rsidR="00C23099">
        <w:rPr>
          <w:rFonts w:ascii="Source Sans Pro" w:hAnsi="Source Sans Pro"/>
          <w:color w:val="30312D"/>
          <w:shd w:val="clear" w:color="auto" w:fill="FFFFFF"/>
        </w:rPr>
        <w:t xml:space="preserve">Perron ZZP gaat zelfstandigen helpen om zo snel mogelijk weer in een eigen inkomen te voorzien. </w:t>
      </w:r>
    </w:p>
    <w:p w14:paraId="42BFF010" w14:textId="1AAA8EB6" w:rsidR="008D3929" w:rsidRDefault="008D3929" w:rsidP="001B765C">
      <w:pPr>
        <w:pStyle w:val="Lijstalinea"/>
        <w:numPr>
          <w:ilvl w:val="0"/>
          <w:numId w:val="1"/>
        </w:numPr>
      </w:pPr>
      <w:r>
        <w:t>Zijn de mogelijkheden van schuldhulpverlening aan ondernemers naar</w:t>
      </w:r>
      <w:r w:rsidR="004A09C7">
        <w:t xml:space="preserve"> </w:t>
      </w:r>
      <w:r>
        <w:t xml:space="preserve">oordeel </w:t>
      </w:r>
      <w:r w:rsidR="004A09C7">
        <w:t xml:space="preserve">van het college </w:t>
      </w:r>
      <w:r>
        <w:t>voldoende bekend?</w:t>
      </w:r>
      <w:r w:rsidR="001B765C">
        <w:t xml:space="preserve"> Op welke wijze kunnen ondernemers gericht en eenvoudig worden doorverwezen naar de GKB? Welke rol speelt perron ZZP voor deze ondernemers?</w:t>
      </w:r>
    </w:p>
    <w:p w14:paraId="01139689" w14:textId="58B5F94D" w:rsidR="00317DBB" w:rsidRDefault="00317DBB" w:rsidP="00317DBB">
      <w:r>
        <w:rPr>
          <w:b/>
          <w:bCs/>
        </w:rPr>
        <w:t>Financiële problemen</w:t>
      </w:r>
      <w:r>
        <w:rPr>
          <w:b/>
          <w:bCs/>
        </w:rPr>
        <w:br/>
      </w:r>
      <w:r>
        <w:t>Ondernemers dienen diverse betaling</w:t>
      </w:r>
      <w:r w:rsidR="00476EBE">
        <w:t>en</w:t>
      </w:r>
      <w:r>
        <w:t xml:space="preserve"> van vaste lasten voor te schieten voordat zij een vergoeding op basis van één van de regelingen kunnen krijgen</w:t>
      </w:r>
      <w:r w:rsidR="00C5321A">
        <w:t>, dit ligt opgesloten in het aanvraagproces</w:t>
      </w:r>
      <w:r>
        <w:t xml:space="preserve">. </w:t>
      </w:r>
      <w:r>
        <w:lastRenderedPageBreak/>
        <w:t>Daarnaast zijn de regelingen niet allemaal volledig kostendekkend</w:t>
      </w:r>
      <w:r w:rsidR="001B765C">
        <w:t xml:space="preserve"> (ontoereikend) en in veel gevallen nog niet betaald</w:t>
      </w:r>
      <w:r w:rsidR="00C5321A">
        <w:t xml:space="preserve"> (met name TVL)</w:t>
      </w:r>
      <w:r>
        <w:t>.</w:t>
      </w:r>
      <w:r w:rsidR="006B3451">
        <w:t xml:space="preserve"> </w:t>
      </w:r>
      <w:r w:rsidR="001B765C">
        <w:t>Ook worden ondernemers geconfronteerd met afrekeningen waarbij zij een deel moeten terugbetalen</w:t>
      </w:r>
      <w:r w:rsidR="00C5321A">
        <w:t>, zie hierover ook de berichten over de NOW</w:t>
      </w:r>
      <w:r w:rsidR="00C5321A">
        <w:rPr>
          <w:rStyle w:val="Voetnootmarkering"/>
        </w:rPr>
        <w:footnoteReference w:id="4"/>
      </w:r>
      <w:r w:rsidR="001B765C">
        <w:t xml:space="preserve">. </w:t>
      </w:r>
      <w:r w:rsidR="000F4BAD">
        <w:t xml:space="preserve">Verder </w:t>
      </w:r>
      <w:r w:rsidR="00C5321A">
        <w:t xml:space="preserve">hebben we vanuit de horecabranche vernomen dat </w:t>
      </w:r>
      <w:r w:rsidR="000F4BAD">
        <w:t>ondernemers achteraf enorme kosten</w:t>
      </w:r>
      <w:r w:rsidR="00C5321A">
        <w:t xml:space="preserve"> dienen</w:t>
      </w:r>
      <w:r w:rsidR="000F4BAD">
        <w:t xml:space="preserve"> te maken om aan te tonen dat zij recht hebben (gehad) op steun. </w:t>
      </w:r>
      <w:r w:rsidR="006B3451">
        <w:t>Ondernemers komen hierdoor in financiële problemen en dienen na zakelijke reserves soms ook privévermogen aan te spreken.</w:t>
      </w:r>
    </w:p>
    <w:p w14:paraId="6B2B26AD" w14:textId="05B125B6" w:rsidR="006B3451" w:rsidRDefault="006B3451" w:rsidP="006B3451">
      <w:pPr>
        <w:pStyle w:val="Lijstalinea"/>
        <w:numPr>
          <w:ilvl w:val="0"/>
          <w:numId w:val="1"/>
        </w:numPr>
      </w:pPr>
      <w:r>
        <w:t xml:space="preserve">Is het college van deze problemen bij ondernemers op de hoogte? </w:t>
      </w:r>
      <w:r w:rsidR="004A09C7">
        <w:t>Zo ja, hoe kijkt het college tegen deze problemen aan? Zo nee, waarom niet en hoe zorgt het college dat zij hiervan op de hoogte geraakt?</w:t>
      </w:r>
    </w:p>
    <w:p w14:paraId="2E2612F0" w14:textId="7C34192B" w:rsidR="004A09C7" w:rsidRPr="004A09C7" w:rsidRDefault="004A09C7" w:rsidP="004A09C7">
      <w:pPr>
        <w:rPr>
          <w:rFonts w:cstheme="minorHAnsi"/>
          <w:color w:val="222222"/>
          <w:shd w:val="clear" w:color="auto" w:fill="FFFFFF"/>
        </w:rPr>
      </w:pPr>
      <w:r w:rsidRPr="004A09C7">
        <w:rPr>
          <w:rFonts w:cstheme="minorHAnsi"/>
        </w:rPr>
        <w:t>Met de TONK-regeling (</w:t>
      </w:r>
      <w:r w:rsidRPr="004A09C7">
        <w:rPr>
          <w:rFonts w:cstheme="minorHAnsi"/>
          <w:color w:val="222222"/>
          <w:shd w:val="clear" w:color="auto" w:fill="FFFFFF"/>
        </w:rPr>
        <w:t xml:space="preserve">Tijdelijke Ondersteuning Noodzakelijke Kosten) wordt extra steun aan huishoudens gegeven die door de coronacrisis te maken hebben met een aanzienlijk inkomensverlies en daardoor hun noodzakelijke (woon)kosten niet meer kunnen betalen. </w:t>
      </w:r>
    </w:p>
    <w:p w14:paraId="6BD180A6" w14:textId="7FFEC72E" w:rsidR="00267A59" w:rsidRPr="00267A59" w:rsidRDefault="004A09C7" w:rsidP="00267A59">
      <w:pPr>
        <w:pStyle w:val="Lijstalinea"/>
        <w:numPr>
          <w:ilvl w:val="0"/>
          <w:numId w:val="1"/>
        </w:numPr>
        <w:rPr>
          <w:rFonts w:cstheme="minorHAnsi"/>
        </w:rPr>
      </w:pPr>
      <w:r>
        <w:t>Kan het college aangeven wat de stand van zaken is van uitvoering van de TONK-regeling?</w:t>
      </w:r>
      <w:r w:rsidR="00297D80">
        <w:t xml:space="preserve"> En op welke wijze deze op hoofdlijnen door de gemeente wordt ingevuld?</w:t>
      </w:r>
    </w:p>
    <w:p w14:paraId="4CD9B9B3" w14:textId="0F753829" w:rsidR="0031575C" w:rsidRDefault="00267A59" w:rsidP="0031575C">
      <w:r>
        <w:t xml:space="preserve">Het is van belang dat de ondersteuning aan ondernemers een gebalanceerd geheel is tussen de eigen verantwoordelijkheid en mogelijkheden van de ondernemer en de ondersteuning die Rijk en gemeenten bieden. </w:t>
      </w:r>
      <w:r w:rsidR="00297D80">
        <w:t>We zien dat gemeenten verschillend omgaan met de ondersteuning van maatregelen</w:t>
      </w:r>
      <w:r w:rsidR="00C82D76">
        <w:t>. Ook worden verschillende opties door gemeenten bekeken</w:t>
      </w:r>
      <w:r w:rsidR="00297D80">
        <w:t>, enkele voorbeelden</w:t>
      </w:r>
      <w:r w:rsidR="00045071">
        <w:t xml:space="preserve"> </w:t>
      </w:r>
      <w:r w:rsidR="00C82D76">
        <w:t>van mogelijke vormen van ondersteuning</w:t>
      </w:r>
      <w:r w:rsidR="00297D80">
        <w:t>:</w:t>
      </w:r>
      <w:r w:rsidR="00297D80">
        <w:br/>
        <w:t xml:space="preserve"> </w:t>
      </w:r>
      <w:r w:rsidR="00297D80">
        <w:tab/>
      </w:r>
      <w:r w:rsidR="00297D80">
        <w:rPr>
          <w:rFonts w:cstheme="minorHAnsi"/>
        </w:rPr>
        <w:t>●</w:t>
      </w:r>
      <w:r w:rsidR="00297D80">
        <w:tab/>
        <w:t>het niet toepassen van de vermogenstoets voor de TONK</w:t>
      </w:r>
      <w:r w:rsidR="0031575C">
        <w:t xml:space="preserve">, om te voorkomen dat eerst </w:t>
      </w:r>
      <w:r w:rsidR="0031575C">
        <w:br/>
        <w:t xml:space="preserve"> </w:t>
      </w:r>
      <w:r w:rsidR="0031575C">
        <w:tab/>
      </w:r>
      <w:r w:rsidR="0031575C">
        <w:tab/>
        <w:t>privévermogen moet worden aangesproken</w:t>
      </w:r>
      <w:r w:rsidR="00AF704F">
        <w:rPr>
          <w:rStyle w:val="Voetnootmarkering"/>
        </w:rPr>
        <w:footnoteReference w:id="5"/>
      </w:r>
      <w:r w:rsidR="00297D80">
        <w:t>;</w:t>
      </w:r>
      <w:r w:rsidR="00297D80">
        <w:br/>
        <w:t xml:space="preserve"> </w:t>
      </w:r>
      <w:r w:rsidR="00297D80">
        <w:tab/>
      </w:r>
      <w:r w:rsidR="00297D80">
        <w:rPr>
          <w:rFonts w:cstheme="minorHAnsi"/>
        </w:rPr>
        <w:t>●</w:t>
      </w:r>
      <w:r w:rsidR="00297D80">
        <w:tab/>
        <w:t xml:space="preserve">(gedeeltelijke) kwijtschelding voor rioolheffing en afvalstoffenheffing voor </w:t>
      </w:r>
      <w:r w:rsidR="00297D80">
        <w:br/>
        <w:t xml:space="preserve"> </w:t>
      </w:r>
      <w:r w:rsidR="00297D80">
        <w:tab/>
      </w:r>
      <w:r w:rsidR="00297D80">
        <w:tab/>
        <w:t>ondernemers;</w:t>
      </w:r>
      <w:r w:rsidR="00297D80">
        <w:br/>
        <w:t xml:space="preserve"> </w:t>
      </w:r>
      <w:r w:rsidR="00297D80">
        <w:tab/>
      </w:r>
      <w:r w:rsidR="00297D80">
        <w:rPr>
          <w:rFonts w:cstheme="minorHAnsi"/>
        </w:rPr>
        <w:t>●</w:t>
      </w:r>
      <w:r w:rsidR="00297D80">
        <w:tab/>
        <w:t xml:space="preserve">renteloze leningen </w:t>
      </w:r>
      <w:r w:rsidR="0031575C">
        <w:t>voor (kleine) ondernemers;</w:t>
      </w:r>
      <w:r w:rsidR="0031575C">
        <w:br/>
        <w:t xml:space="preserve"> </w:t>
      </w:r>
      <w:r w:rsidR="0031575C">
        <w:tab/>
      </w:r>
      <w:r w:rsidR="0031575C">
        <w:rPr>
          <w:rFonts w:cstheme="minorHAnsi"/>
        </w:rPr>
        <w:t>●</w:t>
      </w:r>
      <w:r w:rsidR="0031575C">
        <w:tab/>
        <w:t xml:space="preserve">(gedeeltelijke) kwijtschelding van huur wanneer de gemeente verhuurder is van  </w:t>
      </w:r>
      <w:r w:rsidR="0031575C">
        <w:br/>
        <w:t xml:space="preserve"> </w:t>
      </w:r>
      <w:r w:rsidR="0031575C">
        <w:tab/>
      </w:r>
      <w:r w:rsidR="0031575C">
        <w:tab/>
        <w:t>vastgoed aan ondernemers</w:t>
      </w:r>
      <w:r w:rsidR="00C82D76">
        <w:rPr>
          <w:rStyle w:val="Voetnootmarkering"/>
        </w:rPr>
        <w:footnoteReference w:id="6"/>
      </w:r>
      <w:r w:rsidR="0031575C">
        <w:t>.</w:t>
      </w:r>
    </w:p>
    <w:p w14:paraId="1B4347EA" w14:textId="45776DF9" w:rsidR="0031575C" w:rsidRDefault="0031575C" w:rsidP="0031575C">
      <w:pPr>
        <w:pStyle w:val="Lijstalinea"/>
        <w:numPr>
          <w:ilvl w:val="0"/>
          <w:numId w:val="1"/>
        </w:numPr>
      </w:pPr>
      <w:r>
        <w:t>I</w:t>
      </w:r>
      <w:r w:rsidR="00297D80">
        <w:t>s het college met de</w:t>
      </w:r>
      <w:r>
        <w:t>rgelijk</w:t>
      </w:r>
      <w:r w:rsidR="00297D80">
        <w:t xml:space="preserve"> regelingen bekend en is het college van mening dat de regeling</w:t>
      </w:r>
      <w:r w:rsidR="00F06D7F">
        <w:t>en</w:t>
      </w:r>
      <w:r w:rsidR="00297D80">
        <w:t xml:space="preserve"> </w:t>
      </w:r>
      <w:r w:rsidR="00F06D7F">
        <w:t xml:space="preserve">die de gemeente Groningen aanbiedt </w:t>
      </w:r>
      <w:r w:rsidR="00297D80">
        <w:t>een gebalanceerd pakket vormt dat ondernemers voldoende ondersteunt?</w:t>
      </w:r>
      <w:r>
        <w:t xml:space="preserve"> Zo ja, waarom? Zo nee, waarom niet?</w:t>
      </w:r>
    </w:p>
    <w:p w14:paraId="3DCD49A7" w14:textId="3263E609" w:rsidR="00440754" w:rsidRDefault="00440754" w:rsidP="00440754">
      <w:r>
        <w:t>Met vriendelijke groet,</w:t>
      </w:r>
    </w:p>
    <w:p w14:paraId="7C5F4FC9" w14:textId="6F84C46F" w:rsidR="00403091" w:rsidRDefault="00440754" w:rsidP="00440754">
      <w:r>
        <w:t>Namens de fractie van ChristenUnie Groningen</w:t>
      </w:r>
      <w:r w:rsidR="00403091">
        <w:t>,</w:t>
      </w:r>
    </w:p>
    <w:p w14:paraId="63CD8959" w14:textId="7A07128B" w:rsidR="00440754" w:rsidRPr="00317DBB" w:rsidRDefault="00440754" w:rsidP="00440754">
      <w:r>
        <w:t>Peter Rebergen</w:t>
      </w:r>
    </w:p>
    <w:sectPr w:rsidR="00440754" w:rsidRPr="003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1253" w14:textId="77777777" w:rsidR="00BC1FA3" w:rsidRDefault="00BC1FA3" w:rsidP="00174A64">
      <w:pPr>
        <w:spacing w:after="0" w:line="240" w:lineRule="auto"/>
      </w:pPr>
      <w:r>
        <w:separator/>
      </w:r>
    </w:p>
  </w:endnote>
  <w:endnote w:type="continuationSeparator" w:id="0">
    <w:p w14:paraId="4F79D496" w14:textId="77777777" w:rsidR="00BC1FA3" w:rsidRDefault="00BC1FA3" w:rsidP="001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B0CA" w14:textId="77777777" w:rsidR="00BC1FA3" w:rsidRDefault="00BC1FA3" w:rsidP="00174A64">
      <w:pPr>
        <w:spacing w:after="0" w:line="240" w:lineRule="auto"/>
      </w:pPr>
      <w:r>
        <w:separator/>
      </w:r>
    </w:p>
  </w:footnote>
  <w:footnote w:type="continuationSeparator" w:id="0">
    <w:p w14:paraId="2AB90261" w14:textId="77777777" w:rsidR="00BC1FA3" w:rsidRDefault="00BC1FA3" w:rsidP="00174A64">
      <w:pPr>
        <w:spacing w:after="0" w:line="240" w:lineRule="auto"/>
      </w:pPr>
      <w:r>
        <w:continuationSeparator/>
      </w:r>
    </w:p>
  </w:footnote>
  <w:footnote w:id="1">
    <w:p w14:paraId="32028404" w14:textId="7ED904D2" w:rsidR="00174A64" w:rsidRDefault="00174A6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De spaghetti van de coronasteun | KRO-NCRV (kro-ncrv.nl)</w:t>
        </w:r>
      </w:hyperlink>
    </w:p>
  </w:footnote>
  <w:footnote w:id="2">
    <w:p w14:paraId="7D05BD02" w14:textId="4C46A0AE" w:rsidR="007D584C" w:rsidRDefault="007D584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Letterlijke tekst persconferentie minister-president Rutte en minister De Jonge (23 maart 2021) | Mediatekst | Rijksoverheid.nl</w:t>
        </w:r>
      </w:hyperlink>
    </w:p>
  </w:footnote>
  <w:footnote w:id="3">
    <w:p w14:paraId="53D9C75F" w14:textId="5A5B5D07" w:rsidR="008D3929" w:rsidRDefault="007D584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 w:rsidR="008D3929" w:rsidRPr="00C22F97">
          <w:rPr>
            <w:rStyle w:val="Hyperlink"/>
          </w:rPr>
          <w:t>https://gemeenteraad.groningen.nl/Documenten/Collegebrieven/Maatregelen-opstart-na-lockdown-1.pdf</w:t>
        </w:r>
      </w:hyperlink>
    </w:p>
  </w:footnote>
  <w:footnote w:id="4">
    <w:p w14:paraId="5D4632D7" w14:textId="5C72E446" w:rsidR="00C5321A" w:rsidRDefault="00C5321A">
      <w:pPr>
        <w:pStyle w:val="Voetnoottekst"/>
      </w:pPr>
      <w:r>
        <w:rPr>
          <w:rStyle w:val="Voetnootmarkering"/>
        </w:rPr>
        <w:footnoteRef/>
      </w:r>
      <w:r>
        <w:t xml:space="preserve"> Bijv. </w:t>
      </w:r>
      <w:hyperlink r:id="rId4" w:history="1">
        <w:r>
          <w:rPr>
            <w:rStyle w:val="Hyperlink"/>
          </w:rPr>
          <w:t>Ondernemers verrast door 'NOW-boete' (accountant.nl)</w:t>
        </w:r>
      </w:hyperlink>
    </w:p>
  </w:footnote>
  <w:footnote w:id="5">
    <w:p w14:paraId="6513CA89" w14:textId="4E0C7C07" w:rsidR="00AF704F" w:rsidRDefault="00AF704F">
      <w:pPr>
        <w:pStyle w:val="Voetnoottekst"/>
      </w:pPr>
      <w:r>
        <w:rPr>
          <w:rStyle w:val="Voetnootmarkering"/>
        </w:rPr>
        <w:footnoteRef/>
      </w:r>
      <w:r>
        <w:t xml:space="preserve"> Bijv. </w:t>
      </w:r>
      <w:hyperlink r:id="rId5" w:history="1">
        <w:r>
          <w:rPr>
            <w:rStyle w:val="Hyperlink"/>
          </w:rPr>
          <w:t xml:space="preserve">Tijdelijke ondersteuning noodzakelijke kosten (TONK) | Werkplein Hart van </w:t>
        </w:r>
        <w:proofErr w:type="gramStart"/>
        <w:r>
          <w:rPr>
            <w:rStyle w:val="Hyperlink"/>
          </w:rPr>
          <w:t>West Brabant</w:t>
        </w:r>
        <w:proofErr w:type="gramEnd"/>
        <w:r>
          <w:rPr>
            <w:rStyle w:val="Hyperlink"/>
          </w:rPr>
          <w:t xml:space="preserve"> (werkpleinhartvanwest-brabant.nl)</w:t>
        </w:r>
      </w:hyperlink>
    </w:p>
  </w:footnote>
  <w:footnote w:id="6">
    <w:p w14:paraId="1EF82522" w14:textId="0E22EE18" w:rsidR="00C82D76" w:rsidRDefault="00C82D76">
      <w:pPr>
        <w:pStyle w:val="Voetnoottekst"/>
      </w:pPr>
      <w:r>
        <w:rPr>
          <w:rStyle w:val="Voetnootmarkering"/>
        </w:rPr>
        <w:footnoteRef/>
      </w:r>
      <w:r>
        <w:t xml:space="preserve"> Bijv. </w:t>
      </w:r>
      <w:hyperlink r:id="rId6" w:history="1">
        <w:r>
          <w:rPr>
            <w:rStyle w:val="Hyperlink"/>
          </w:rPr>
          <w:t>Rotterdam scheldt gedeelte verschuldigde huur kwijt | Rotterdam.nl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1CFF"/>
    <w:multiLevelType w:val="hybridMultilevel"/>
    <w:tmpl w:val="BF6070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B74"/>
    <w:multiLevelType w:val="hybridMultilevel"/>
    <w:tmpl w:val="BF6070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1AE8"/>
    <w:multiLevelType w:val="hybridMultilevel"/>
    <w:tmpl w:val="8A849054"/>
    <w:lvl w:ilvl="0" w:tplc="49CEB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6BF5"/>
    <w:multiLevelType w:val="hybridMultilevel"/>
    <w:tmpl w:val="B7188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1250D"/>
    <w:multiLevelType w:val="hybridMultilevel"/>
    <w:tmpl w:val="1722F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64"/>
    <w:rsid w:val="00045071"/>
    <w:rsid w:val="000B25BD"/>
    <w:rsid w:val="000F4BAD"/>
    <w:rsid w:val="001661C2"/>
    <w:rsid w:val="00174A64"/>
    <w:rsid w:val="0019535D"/>
    <w:rsid w:val="001B765C"/>
    <w:rsid w:val="00217C60"/>
    <w:rsid w:val="00255604"/>
    <w:rsid w:val="00267A59"/>
    <w:rsid w:val="00267DF1"/>
    <w:rsid w:val="00297D80"/>
    <w:rsid w:val="002B4C03"/>
    <w:rsid w:val="0031575C"/>
    <w:rsid w:val="00317DBB"/>
    <w:rsid w:val="00400AF2"/>
    <w:rsid w:val="00403091"/>
    <w:rsid w:val="00440754"/>
    <w:rsid w:val="004672AB"/>
    <w:rsid w:val="00476EBE"/>
    <w:rsid w:val="004A09C7"/>
    <w:rsid w:val="004B4420"/>
    <w:rsid w:val="00525FCE"/>
    <w:rsid w:val="005A4535"/>
    <w:rsid w:val="006B3451"/>
    <w:rsid w:val="006F4C7D"/>
    <w:rsid w:val="007018B8"/>
    <w:rsid w:val="007D0045"/>
    <w:rsid w:val="007D3A47"/>
    <w:rsid w:val="007D584C"/>
    <w:rsid w:val="007D671A"/>
    <w:rsid w:val="008210BF"/>
    <w:rsid w:val="0086652F"/>
    <w:rsid w:val="008D3929"/>
    <w:rsid w:val="008E1D24"/>
    <w:rsid w:val="009E4B43"/>
    <w:rsid w:val="00A723F4"/>
    <w:rsid w:val="00AF704F"/>
    <w:rsid w:val="00B2756A"/>
    <w:rsid w:val="00B9227D"/>
    <w:rsid w:val="00BA6386"/>
    <w:rsid w:val="00BC1FA3"/>
    <w:rsid w:val="00C23099"/>
    <w:rsid w:val="00C37890"/>
    <w:rsid w:val="00C4224E"/>
    <w:rsid w:val="00C5321A"/>
    <w:rsid w:val="00C82D76"/>
    <w:rsid w:val="00DD14C8"/>
    <w:rsid w:val="00E418DC"/>
    <w:rsid w:val="00F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AB76"/>
  <w15:chartTrackingRefBased/>
  <w15:docId w15:val="{CBD24D9C-B910-4061-A360-2E8AAD7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4A6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4A6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4A6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74A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17C6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D392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39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D39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9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39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392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6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6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61C2"/>
  </w:style>
  <w:style w:type="paragraph" w:styleId="Voettekst">
    <w:name w:val="footer"/>
    <w:basedOn w:val="Standaard"/>
    <w:link w:val="VoettekstChar"/>
    <w:uiPriority w:val="99"/>
    <w:unhideWhenUsed/>
    <w:rsid w:val="0016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61C2"/>
  </w:style>
  <w:style w:type="character" w:styleId="GevolgdeHyperlink">
    <w:name w:val="FollowedHyperlink"/>
    <w:basedOn w:val="Standaardalinea-lettertype"/>
    <w:uiPriority w:val="99"/>
    <w:semiHidden/>
    <w:unhideWhenUsed/>
    <w:rsid w:val="0086652F"/>
    <w:rPr>
      <w:color w:val="954F72" w:themeColor="followedHyperlink"/>
      <w:u w:val="single"/>
    </w:rPr>
  </w:style>
  <w:style w:type="paragraph" w:customStyle="1" w:styleId="xmsonormal">
    <w:name w:val="x_msonormal"/>
    <w:basedOn w:val="Standaard"/>
    <w:rsid w:val="0086652F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emeenteraad.groningen.nl/Documenten/Collegebrieven/Maatregelen-opstart-na-lockdown-1.pdf" TargetMode="External"/><Relationship Id="rId2" Type="http://schemas.openxmlformats.org/officeDocument/2006/relationships/hyperlink" Target="https://www.rijksoverheid.nl/documenten/mediateksten/2021/03/23/letterlijke-tekst-persconferentie-minister-president-rutte-en-minister-de-jonge-23-maart-2021" TargetMode="External"/><Relationship Id="rId1" Type="http://schemas.openxmlformats.org/officeDocument/2006/relationships/hyperlink" Target="https://pointer.kro-ncrv.nl/de-spaghetti-van-de-coronasteun" TargetMode="External"/><Relationship Id="rId6" Type="http://schemas.openxmlformats.org/officeDocument/2006/relationships/hyperlink" Target="https://www.rotterdam.nl/nieuws/gemeentelijk-vastgoed/" TargetMode="External"/><Relationship Id="rId5" Type="http://schemas.openxmlformats.org/officeDocument/2006/relationships/hyperlink" Target="https://werkpleinhartvanwest-brabant.nl/tijdelijke-ondersteuning-noodzakelijke-kosten-tonk" TargetMode="External"/><Relationship Id="rId4" Type="http://schemas.openxmlformats.org/officeDocument/2006/relationships/hyperlink" Target="https://www.accountant.nl/nieuws/2021/2/ondernemers-verrast-door-now-boet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4E775A079A41A05B9785FE5E6CD6" ma:contentTypeVersion="5" ma:contentTypeDescription="Een nieuw document maken." ma:contentTypeScope="" ma:versionID="6dfd263a34cbf4f38db41eeb95e569c0">
  <xsd:schema xmlns:xsd="http://www.w3.org/2001/XMLSchema" xmlns:xs="http://www.w3.org/2001/XMLSchema" xmlns:p="http://schemas.microsoft.com/office/2006/metadata/properties" xmlns:ns3="b9ef94b3-3057-44ab-af8c-355d5e45a8b6" xmlns:ns4="dc1e42d5-4277-4d4b-81c8-9a2644fe8c6c" targetNamespace="http://schemas.microsoft.com/office/2006/metadata/properties" ma:root="true" ma:fieldsID="75aac45031fd6dddc98c8a37cd9e9ee4" ns3:_="" ns4:_="">
    <xsd:import namespace="b9ef94b3-3057-44ab-af8c-355d5e45a8b6"/>
    <xsd:import namespace="dc1e42d5-4277-4d4b-81c8-9a2644fe8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94b3-3057-44ab-af8c-355d5e45a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e42d5-4277-4d4b-81c8-9a2644fe8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9F057-31F9-4DDE-9FC6-DF5390896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554D7-EBC6-460F-A5A2-AFBB7488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94b3-3057-44ab-af8c-355d5e45a8b6"/>
    <ds:schemaRef ds:uri="dc1e42d5-4277-4d4b-81c8-9a2644fe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1BC07-083D-416A-A18D-C39CFF4BF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4A28A-62E1-4CB1-BC14-15C017EC6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Rebergen</dc:creator>
  <cp:keywords/>
  <dc:description/>
  <cp:lastModifiedBy>Christina van Norel</cp:lastModifiedBy>
  <cp:revision>4</cp:revision>
  <dcterms:created xsi:type="dcterms:W3CDTF">2021-04-12T12:15:00Z</dcterms:created>
  <dcterms:modified xsi:type="dcterms:W3CDTF">2021-04-12T14:10:00Z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0x01010061364E775A079A41A05B9785FE5E6CD6</vt:lpwstr>
  </property>
</Properties>
</file>